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Bukit Makmur Istindo Nikeltama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Tambang Mineral</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Jalan Trans Sulawesi Dusun III Desa Bungintimbe Kec. Petasia Timur Kab. Morowali Utara Sulawesi Tengah, 94671</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130B3D" w:rsidRDefault="00A949AA" w:rsidP="006523D4">
            <w:pPr>
              <w:jc w:val="both"/>
              <w:rPr>
                <w:rFonts w:ascii="Arial Narrow" w:hAnsi="Arial Narrow"/>
                <w:b/>
                <w:bCs/>
                <w:color w:val="FF0000"/>
              </w:rPr>
            </w:pPr>
            <w:r w:rsidRPr="00EC020B">
              <w:rPr>
                <w:rFonts w:ascii="Arial Narrow" w:hAnsi="Arial Narrow"/>
                <w:b/>
                <w:bCs/>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MERAH</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TIDAK 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pengendalian pencemaran air (PPPA) namun belum memiliki personil yang bertanggung jawab operasional pengendalian pencemaran air (POPAL)
</w:t>
                    <w:br/>
                    <w:t>Sertifikat PPPA, nomor :37021 214301 7 0000043 2023 yang diterbitkan oleh: Lembaga Sertifikasi Profesi Lingukungan Hidup Lestari pada tanggal 20 Juni 2023 berlaku sampai dengan tanggal 20 Juni 2026</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TIDAK 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 Pembuangan Air Limbah yang diterbitkan oleh Bupati Kabupaten Morowali Utara:
</w:t>
                    <w:br/>
                    <w:t>1. Nomor: 503/003/ILC.DPM-PTSPD/VII/2019, pada  tanggal 30 Juli 2019 berlaku sampai dengan tanggal 30 Juli 2022 (masa berlaku izin habis). Namun belum mengajukan permohonan  persetujuan teknis yang terintegrasi ke dokumen lingkungan kepada KLHK</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4 titik penaatan (Outlet) 
</w:t>
                    <w:br/>
                    <w:t>1. Settlingpond 8 dan telah dipantau.
</w:t>
                    <w:br/>
                    <w:t>2. Settlingpond 3 dan telah dipantau.
</w:t>
                    <w:br/>
                    <w:t>3. Settlingpond Pit X dan telah dipantau.
</w:t>
                    <w:br/>
                    <w:t>4. Settlingpond HRN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5 titik pantau 
</w:t>
                    <w:br/>
                    <w:t>1. Sungai Keuno telah dipantau.
</w:t>
                    <w:br/>
                    <w:t>2. Sungai Molores telah dipantau.
</w:t>
                    <w:br/>
                    <w:t>3. Sungai TTG telah dipantau.
</w:t>
                    <w:br/>
                    <w:t>4. Sungai Ponu I telah dipantau.
</w:t>
                    <w:br/>
                    <w:t>5. Sungai Ponu II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0 %</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Belum melakukan pemantauan terhadap titik penaatan yang wajib SPARING dengan alat pemantauan secara otomatis, terus-menerus dan dalam jaringan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parameter yang diwajibkan yaitu: 
</w:t>
                    <w:br/>
                    <w:t>1. Settlingpond 8: Debit Air Limbah/Bulan, pH, TSS, Pb (Timbal), Cd (Cadmium), Cu (Tembaga), Fe, Kobalt (Co), Ni (Nikel), Zn (Seng), Cr6+, Cr Total
</w:t>
                    <w:br/>
                    <w:t>2. Settlingpond 3: Kobalt (Co), pH, TSS, Pb (Timbal), Debit Air Limbah/Bulan, Cd (Cadmium), Cu (Tembaga), Fe, Ni (Nikel), Zn (Seng), Cr6+, Cr Total
</w:t>
                    <w:br/>
                    <w:t>3. Settlingpond Pit X: Debit Air Limbah/Bulan, pH, TSS, Pb (Timbal), Cd (Cadmium), Cu (Tembaga), Fe, Kobalt (Co), Ni (Nikel), Zn (Seng), Cr6+, Cr Total
</w:t>
                    <w:br/>
                    <w:t>4. Settlingpond HRN: pH, TSS, Pb (Timbal), Debit Air Limbah/Bulan, Cd (Cadmium), Cu (Tembaga), Fe, Kobalt (Co), Ni (Nikel), Zn (Seng), Cr6+, Cr Total</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0 %</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Belum melakukan pemantauan terhadap seluruh parameter yang diwajibkan dipantau secara otomatis, terus-menerus dan dalam jaringan melalui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Perusahaan telah menyampaikan pelaporan hasil pemantauan kualitas air limbah pada periode 2022-07-01 s/d 2023-06-30. Persentase terendah dari parameter pH, TSS, Pb (Timbal), Debit Air Limbah/Bulan, Cd (Cadmium), Cu (Tembaga), Fe, Kobalt (Co), Ni (Nikel), Zn (Seng), Cr6+, Cr Total</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Belum melaporkan data hasil Pengukuran parameter Debit air limbah harian dari tanggal 1 Juli 2022 sampai dengan tanggal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Belum melaporkan data hasil Pengukuran parameter pH harian dari tanggal 1 Juli 2022 sampai dengan tanggal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83 %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telah menyampaikan pelaporan hasil pemantauan kualitas air limbah pada periode 2022-07-01 s/d 2023-06-30. Persentase terendah dari parameter</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0 %</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Belum melaporkan data pemantauan melalui SPARING pada bulan Juli 2022 sampai dengan bulan Juni 2023</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33 %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Parameter TSS, CD, CU, NI pada titik Penaatan settling Pond 8  melebihi bakumutu pada bulan Agustus Tahun 2022
</w:t>
                    <w:br/>
                    <w:t>2. Parameter TSS, CD, CU, NI pada titik Penaatan settling Pond 3  melebihi bakumutu pada bulan Agustus Tahun 2022
</w:t>
                    <w:br/>
                    <w:t>3. Parameter TSS, CD, CU, Ni, ZN pada titik Penaataan PIT X melebihi bakumutu pada bulan Juli dan Agustus tahun 2022
</w:t>
                    <w:br/>
                    <w:t>4. Parameter CU pada titik Penaataan PIT X melebihi bakumutu pada bulan Oktober tahun 2022
</w:t>
                    <w:br/>
                    <w:t>5. Paramater Ni pada titik Penaataan PIT X melebihi bakumutu pada bulan September dan Desember 2022
</w:t>
                    <w:br/>
                    <w:t>6. Parameter CD   pada titik Penaataan PIT X melebihi bakumutu pada bulan Februari dan Maret tahun 2023
</w:t>
                    <w:br/>
                    <w:t>7. Parameter Cr6+ pada titik penaatan HRN melebihi bakumutu pada bulan desember Tahun 2022
</w:t>
                    <w:br/>
                    <w:t>8. Paremeter CU pada titik penaatan HRN melebihi bakumutu pada bulan April tahun 2023</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Belum melaporkan data hasil Pengukuran parameter Debit air limbah harian dari tanggal 1 Juli 2022 sampai dengan tanggal 30 Juni 2023</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Belum melaporkan data hasil Pengukuran parameter pH harian dari tanggal 1 Juli 2022 sampai dengan tanggal 30 Juni 2023</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Belum melaporkan data pemantauan melalui SPARING pada bulan Juli 2022 sampai dengan bulan Juni 2023</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TIDAK 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Semua saluran air limbah tidak kedap air/Belum melampirkan foto saluran air limbah yang kedap air.
</w:t>
                    <w:br/>
                    <w:t>Belum memasang atau melampirkan bukti alat ukur debit (flow meter) beserta papan nama titik penaatan.
</w:t>
                    <w:br/>
                    <w:t>Belum melakukan identifikasi seluruh jenis air limbah yang dihasilkan (limbah proses/air pendingin/air limbah drainase/air limbah utilitas/limbah domestik, dan lainnya.
</w:t>
                    <w:br/>
                    <w:t>Belum melakukan identifikasi terhadap sumber air limbah dan cara pengolahannya.
</w:t>
                    <w:br/>
                    <w:t>Belum melampirkan bukti atau dokumen pencatatan bahan baku harian dan produksi harian senyatanya.
</w:t>
                    <w:br/>
                    <w:t>Belum melampirkan neraca air sesuai dengan yang dipersyaratkan.
</w:t>
                    <w:br/>
                    <w:t>Belum melampirkan file hasil uji validasi kinerja alat sensor oleh Laboratorium.
</w:t>
                    <w:br/>
                    <w:t>Belum melampirkan file hasil uji kalibrasi oleh Laboratorium Kalibrasi terakreditasi atau dari penyedia alat sensor.
</w:t>
                    <w:br/>
                    <w:t>Belum melampirkan file berisi angka rentang pengukuran alat sensor. Data berasal dari Laboratorium dan/atau dari brosur penyedia alat sensor.
</w:t>
                    <w:br/>
                    <w:t>Belum melampirkan file hasil Uji Validasi oleh laboratorium.</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TIDAK TAAT terhadap Kompetensi Personil, Izin/persetujuan Teknis, Sparing, Pelaporan, Pemenuhan Baku Mutu, Data Harian, Beban Pencemaran, Ketentuan Teknis,  namun TAAT terhadap Titik Penaatan, Titik Pantau, Parameter,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1. Perusahaan WAJIB memiliki personil yang bertanggung jawab dan kompeten dalam pengendalian pencemaran air dari Lembaga Sertifikasi Profesi Berlisensi BNSP dan masih berlaku.
</w:t>
              <w:br/>
              <w:t>2. Perusahaan WAJIB melakukan pengelolaan domestik dengan memiliki persetujuan teknis pembuangan air limbah atau bekerja sama dengan pihak ketiga berizin, sesuai peraturan perundang-undangan lingkungan hidup yang berlaku.
</w:t>
              <w:br/>
              <w:t>3. Perusahaan WAJIB melanjutkan proses administrasi persetujuan teknis pembuangan air limbah ke instansi terkait.
</w:t>
              <w:br/>
              <w:t>4. Perusahaan WAJIB melaksanakan proses permohonan persetujuan teknis pembuangan air limbah/pemanfaatan air lmbah/injeksi JIKA TERDAPAT PERUBAHAN PENGELOLAAN LINGKUNGAN SESUAI PASAL 89-90PP 22/2021 tentang Penyelenggaraan Perlindungan dan Pengelolaan Lingkungan Hidup, kepada instansi pemerintah sesuai dengan kewenangan penerbitan izin usaha.
</w:t>
              <w:br/>
              <w:t>5. Perusahaan WAJIB melakukan pengujian air limbah yang dibuang ke badan air setiap satu bulan sekali untuk setiap parameter yang dipersyaratkan sesuai izin pembuangan air limbah serta memeriksakannya kepada laboratorium terakreditasi dan registrasi KLHK.
</w:t>
              <w:br/>
              <w:t>6. Perusahaan WAJIB melakukan pengujian kualitas air ke badan air setiap enam bulan sekali setiap parameter yang dipersyaratkan sesuai persetujuan teknis pembuangan air limbah atau Persetujuan Lingkungan serta memeriksakannya kepada laboratorium terakreditasi dan registrasi KLHK.
</w:t>
              <w:br/>
              <w:t>7. Perusahaan WAJIB melakukan pemantauan air limbah secara otomatis yang dibuang ke badan air sesuai peraturan perundang-undangan lingkungan hidup yang berlaku.
</w:t>
              <w:br/>
              <w:t>8. Perusahaan WAJIB menjaga dan mempertahankan kualitas air limbah yang dibuang ke badan air memenuhi BMAL yang ditetapkan dan memenuhi persyaratan sebagaimana yang diatur sesuai persetujuan teknis pembuangan air limbah.
</w:t>
              <w:br/>
              <w:t>9. Perusahaan WAJIB melakukan pencatatan debit harian air limbah, pH harian, serta produksi senyatanya bulanan.
</w:t>
              <w:br/>
              <w:t>10. Perusahaan WAJIB memenuhi ketentuan teknis.
</w:t>
              <w:br/>
              <w:t>11. Perusahaan WAJIB menyampaikan laporan tentang pH harian, debit/kuantitas air limbah harian, kadar parameter mutu limbah cair, beban pencemaran air limbah dan produksi harian senyatanya, sekurang-kurangnya tiga bulan sekali kepada Kepala Dinas Lingkungan Hidup Kabupaten MOROWALI UTARA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0 cerobong (0 Cerobong Aktif, 0 Cerobong Tidak Aktif).
                      <w:br/>
                      c) Sumber emisi  wajib pantau .
                      <w:br/>
                      d) Belum melakukan pemantauan emisi.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Perusahaan belum menyampaikan laporan hasil pemantauan</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Belum melakukan pemantauan parameter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
                      Perusahaan telah memenuhi ketentuan teknis sesuai peraturan yang berlaku.
                      <w:br/>
                      <w:br/>
                      PELAPORAN EMISI GRK
                      <w:br/>
                      -Pelaporan Emisi GRK TIDAK TAAT dengan catatan tidak mengisi data emisi GRK
                      <w:br/>
                      <w:br/>
                      HASIL VALIDASI AMBIEN : 
                      <w:br/>
                       1. Pemeriksaan Kesesuaian Titik Penaatan : Perusahaan tidak melakukan pemantauan titik penaatan ambien
                      <w:br/>
                      2. Pemeriksaan Kesesuaian Parameter : Perusahaan tidak melakukan pemantauan parameter ambien 
                      <w:br/>
                      3. Pemeriksaan Lampiran Pelaporan : Perusahaan tidak melampirkan hasil pemantauan ambien
                      <w:br/>
                      <w:br/>
                      HASIL VALIDASI KEBISINGAN : 
                      <w:br/>
                       1. Pemeriksaan Kesesuaian Titik Penaatan : Perusahaan tidak melakukan pemantauan titik penaatan kebisingan
                      <w:br/>
                      2. Pemeriksaan Kesesuaian Parameter : Perusahaan tidak melakukan pemantauan parameter kebisingan 
                      <w:br/>
                      3. Pemeriksaan Lampiran Pelaporan : Perusahaan tidak melampirkan hasil pemantauan kebisingan
                      <w:br/>
                      <w:br/>
                      HASIL VALIDASI KEBAUAN : 
                      <w:br/>
                       1. Pemeriksaan Kesesuaian Titik Penaatan : Perusahaan tidak melakukan pemantauan titik penaatan kebauan
                      <w:br/>
                      2. Pemeriksaan Kesesuaian Parameter : Perusahaan tidak melakukan pemantauan parameter kebauan 
                      <w:br/>
                      3. Pemeriksaan Lampiran Pelaporan : Perusahaan tidak melampirkan hasil pemantauan kebauan
                    </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TIDAK 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-Struktur Organisasi TIDAK TAAT dengan catatan tidak ada struktur organisasi
                      <w:br/>
                      -Penanggung Jawab PPU TIDAK TAAT dengan catatan tidak memiliki personil Penanggung Jawab PPU
                      <w:br/>
                      -Operator PPU TIDAK TAAT dengan catatan tidak memiliki personil Operator PPU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
                      TITIK PENAATAN 0%
                      <w:br/>
                       Perusahaan belum melakukan pemantauan ambien sesuai peraturan
                      <w:br/>
                      <w:br/>
                      PARAMETER PEMANTAUAN 0% 
                      <w:br/>
                      Perusahaan belum melakukan pemantauan ambien sesuai peraturan
                      <w:br/>
                      <w:br/>
                      PELAPORAN 0% 
                      <w:br/>
                      Perusahaan belum menyampaikan laporan hasil pemantauan ambien sesuai peraturan
                    </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
                      TITIK PENAATAN 0%
                      <w:br/>
                       Perusahaan belum melakukan pemantauan kebisingan sesuai peraturan
                      <w:br/>
                      <w:br/>
                      PARAMETER PEMANTAUAN 0% 
                      <w:br/>
                      Perusahaan belum melakukan pemantauan kebisingan sesuai peraturan
                      <w:br/>
                      <w:br/>
                      PELAPORAN 0% 
                      <w:br/>
                      Perusahaan belum menyampaikan laporan hasil pemantauan kebisingan sesuai peraturan
                    </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tidak taat terhadap titik penaatan (0%), pelaporan (0%), parameter baku mutu (0%), pemenuhan baku mutu (0%), ketentuan teknis, kompetensi personil, pemantauan ambien (0%), pemantauan kebisingan (0%), namun taat terhadap pemantauan kebauan,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 dengan menggunakan jasa laboratorium yang terakreditasi dan teregistrasi.
                <w:br/>
                3. Perusahaan wajib memenuhi baku mutu semua sumber emisi sesuai .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dan Dinas LH Provinsi ,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503/004/DPM-PTSPD/X-2018
                <w:br/>
                Tertanggal 15-10-2018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TPS LB3  
b) Lokasi penyimpanan berada pada koordinat 121'30'10,5"ÂÂ BT dan 02'10'15,4'' LS dengan dimensi 6m x 4m.  
c) Limbah B3 yang dapat disimpan adalah minyak pelumas bekas (B105d), Aki Bekas (A102d), Drum Bekas (B105d, Limbah Elektronik (B107d), Kain Majun (B110d), Sludge (A315-1), Toner Bekas (B353-1), Catride Bekas (B321-4, Bahan kimia Kadaluarsa padat (A330-2), bahan Kimia Cair (A330-2), Filter bekas (B330-4), Limbah medis (A337-1) Masa simpan Limbah Kategori 1 kurang dari 50kg/hari selama 180 hari dan yang 50kg/hari selama 90 hari; Kategori 2 kurang dari 50kg/hari selama 365 hari dan yang 50kg/hari selama 90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0.2500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0.1000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0.1500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A315-1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Sludge dari oil treatment atau fasilitas penyimpanan</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0.3300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0.3300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13.4380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13.4380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0.2000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0.1326</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0.1326</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B321-4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tinta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0.0250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B330-4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Absorben dan/atau filter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0.0500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Perusahaan belum menyampaikan data pencatatan Limbah B3 (log book dan neraca) yang dihasilkan secara lengkap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14.5256</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14.2756</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0.2500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Sultra Alam Perkasa sebagai pengumpul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 Perusahaan telah melampirkan salinan rekomendasi dan izin pengangkutan pihak ketiga (PT. Sultra Alam Perkasa) yang masih berlaku dan sesuai, namun belum melampirkan Kartu Pengawasan.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festronik, Limbah B3 yang sesuai (jenis dan volume Limbah B3) dengan perencanaan pengelolaan Limbah B3 yang keluar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Kontrak Kerjasama antara penghasil dengan Pengumpulan dan Pemanfaatan/Pengolahan Limbah B3 periode Juli 2022 - Juni 2023 dengan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belum melakukan pendataan jenis, volume dan kodeflikasi limbah B3 (neraca)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namun belum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Ketentuan teknis belum disertai lampiran data pendukung.</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belum melakukan pengelolaan Limbah B3 (melibihi masa simpan)</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belum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TIDAK 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BELUM melakukan pengelolaan Limbah B3 sesuai dengan ketentuan yang berlaku dan persyaratan dalam izin</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WAJIB melakukan pengelolaan lanjutan terhadap seluruh limbah B3 yang dihasilkan sesuai ketentuan peraturan dalam pengelolaan Limbah B3 dan persyaratan dalam izin;
          <w:br/>
          2)	Perusahaan WAJIB melakukan pencatatan (log book dan neraca) terhadap seluruh jenis dan volume Limbah B3 yang dihasilkan;
          <w:br/>
          3)	Perusahaan WAJIB menjaga pemenuhan teknis penyimpanan sementara Limbah B3 sesuai Permen LHK Nomor 6 Tahun 2021 Tentang Tata Cara dan Persyaratan Pengelolaan Limbah B3;
          <w:br/>
          4)	Perusahaan WAJIB memastikan agar pengelolan Limbah B3 oleh pihak ketiga yang memiliki izin telah sesuai ketentuan yang berlaku;
          <w:br/>
          5)	Perusahaan WAJIB melaporkan kinerja pengelolaan Limbah B3 melalui aplikasi Siraja Limbah B3 sesuai dengan ketentuan;
          <w:br/>
          6)	Memprioritaskan upaya 3R (reuse, recycle, recovery) dalam pengelolaan Limbah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p>
      <w:pPr>
        <w:spacing w:line="300" w:lineRule="auto"/>
      </w:pPr>
      <w:r>
        <w:rPr>
          <w:sz w:val="24"/>
          <w:szCs w:val="24"/>
          <w:b/>
          <w:bCs/>
        </w:rPr>
        <w:t xml:space="preserve">V. PENGENDALIAN KERUSAKAN LAHAN - PT. Bukit Makmur Istindo Nikeltama</w:t>
      </w:r>
    </w:p>
    <w:tbl>
      <w:tblGrid>
        <w:gridCol w:w="500" w:type="dxa"/>
        <w:gridCol w:w="1750" w:type="dxa"/>
        <w:gridCol w:w="1750" w:type="dxa"/>
        <w:gridCol w:w="800" w:type="dxa"/>
        <w:gridCol w:w="1000" w:type="dxa"/>
        <w:gridCol w:w="1000" w:type="dxa"/>
        <w:gridCol w:w="1000" w:type="dxa"/>
        <w:gridCol w:w="2500" w:type="dxa"/>
      </w:tblGrid>
      <w:tblPr>
        <w:tblStyle w:val="Colspan Rowspan"/>
      </w:tblPr>
      <w:tr>
        <w:trPr/>
        <w:tc>
          <w:tcPr>
            <w:tcW w:w="500" w:type="dxa"/>
            <w:vAlign w:val="center"/>
            <w:vMerge w:val="restart"/>
          </w:tcPr>
          <w:p>
            <w:pPr>
              <w:jc w:val="center"/>
            </w:pPr>
            <w:r>
              <w:rPr>
                <w:sz w:val="20"/>
                <w:szCs w:val="20"/>
                <w:b/>
                <w:bCs/>
              </w:rPr>
              <w:t xml:space="preserve">NO</w:t>
            </w:r>
          </w:p>
        </w:tc>
        <w:tc>
          <w:tcPr>
            <w:tcW w:w="1750" w:type="dxa"/>
            <w:vAlign w:val="center"/>
            <w:vMerge w:val="restart"/>
          </w:tcPr>
          <w:p>
            <w:pPr>
              <w:jc w:val="center"/>
            </w:pPr>
            <w:r>
              <w:rPr>
                <w:sz w:val="20"/>
                <w:szCs w:val="20"/>
                <w:b/>
                <w:bCs/>
              </w:rPr>
              <w:t xml:space="preserve">TAHAPAN</w:t>
            </w:r>
          </w:p>
        </w:tc>
        <w:tc>
          <w:tcPr>
            <w:tcW w:w="1750" w:type="dxa"/>
            <w:vAlign w:val="center"/>
            <w:vMerge w:val="restart"/>
          </w:tcPr>
          <w:p>
            <w:pPr>
              <w:jc w:val="center"/>
            </w:pPr>
            <w:r>
              <w:rPr>
                <w:sz w:val="20"/>
                <w:szCs w:val="20"/>
                <w:b/>
                <w:bCs/>
              </w:rPr>
              <w:t xml:space="preserve">LOKASI</w:t>
            </w:r>
          </w:p>
        </w:tc>
        <w:tc>
          <w:tcPr>
            <w:tcW w:w="800" w:type="dxa"/>
            <w:vAlign w:val="center"/>
            <w:vMerge w:val="restart"/>
          </w:tcPr>
          <w:p>
            <w:pPr>
              <w:jc w:val="center"/>
            </w:pPr>
            <w:r>
              <w:rPr>
                <w:sz w:val="20"/>
                <w:szCs w:val="20"/>
                <w:b/>
                <w:bCs/>
              </w:rPr>
              <w:t xml:space="preserve">NILAI TOTAL</w:t>
            </w:r>
          </w:p>
        </w:tc>
        <w:tc>
          <w:tcPr>
            <w:tcW w:w="3000" w:type="dxa"/>
            <w:gridSpan w:val="3"/>
            <w:vMerge w:val="restart"/>
          </w:tcPr>
          <w:p>
            <w:pPr>
              <w:jc w:val="center"/>
              <w:spacing w:before="120" w:after="120"/>
            </w:pPr>
            <w:r>
              <w:rPr>
                <w:sz w:val="20"/>
                <w:szCs w:val="20"/>
                <w:b/>
                <w:bCs/>
              </w:rPr>
              <w:t xml:space="preserve">KRITERIA PENILAI</w:t>
            </w:r>
          </w:p>
        </w:tc>
        <w:tc>
          <w:tcPr>
            <w:tcW w:w="2500" w:type="dxa"/>
            <w:vAlign w:val="center"/>
            <w:vMerge w:val="restart"/>
          </w:tcPr>
          <w:p>
            <w:pPr>
              <w:jc w:val="center"/>
            </w:pPr>
            <w:r>
              <w:rPr>
                <w:sz w:val="20"/>
                <w:szCs w:val="20"/>
                <w:b/>
                <w:bCs/>
              </w:rPr>
              <w:t xml:space="preserve">KETERANGAN</w:t>
            </w:r>
          </w:p>
        </w:tc>
      </w:tr>
      <w:tr>
        <w:trPr/>
        <w:tc>
          <w:tcPr>
            <w:tcW w:w="500" w:type="dxa"/>
            <w:vMerge w:val="continue"/>
          </w:tcPr>
          <w:p/>
        </w:tc>
        <w:tc>
          <w:tcPr>
            <w:tcW w:w="1750" w:type="dxa"/>
            <w:vMerge w:val="continue"/>
          </w:tcPr>
          <w:p/>
        </w:tc>
        <w:tc>
          <w:tcPr>
            <w:tcW w:w="1750" w:type="dxa"/>
            <w:vMerge w:val="continue"/>
          </w:tcPr>
          <w:p/>
        </w:tc>
        <w:tc>
          <w:tcPr>
            <w:tcW w:w="800" w:type="dxa"/>
            <w:vMerge w:val="continue"/>
          </w:tcPr>
          <w:p/>
        </w:tc>
        <w:tc>
          <w:tcPr>
            <w:tcW w:w="3000" w:type="dxa"/>
            <w:gridSpan w:val="3"/>
            <w:vMerge w:val="continue"/>
          </w:tcPr>
          <w:p/>
        </w:tc>
        <w:tc>
          <w:tcPr>
            <w:tcW w:w="2500" w:type="dxa"/>
            <w:vMerge w:val="continue"/>
          </w:tcPr>
          <w:p/>
        </w:tc>
      </w:tr>
      <w:tr>
        <w:trPr/>
        <w:tc>
          <w:tcPr>
            <w:tcW w:w="500" w:type="dxa"/>
            <w:vMerge w:val="continue"/>
          </w:tcPr>
          <w:p/>
        </w:tc>
        <w:tc>
          <w:tcPr>
            <w:tcW w:w="1750" w:type="dxa"/>
            <w:vMerge w:val="continue"/>
          </w:tcPr>
          <w:p/>
        </w:tc>
        <w:tc>
          <w:tcPr>
            <w:tcW w:w="1750" w:type="dxa"/>
            <w:vMerge w:val="continue"/>
          </w:tcPr>
          <w:p/>
        </w:tc>
        <w:tc>
          <w:tcPr>
            <w:tcW w:w="800" w:type="dxa"/>
            <w:vMerge w:val="continue"/>
          </w:tcPr>
          <w:p/>
        </w:tc>
        <w:tc>
          <w:tcPr>
            <w:tcW w:w="1000" w:type="dxa"/>
            <w:vAlign w:val="center"/>
          </w:tcPr>
          <w:p>
            <w:pPr>
              <w:jc w:val="center"/>
              <w:spacing w:before="60"/>
            </w:pPr>
            <w:r>
              <w:rPr>
                <w:sz w:val="12"/>
                <w:szCs w:val="12"/>
                <w:b/>
                <w:bCs/>
              </w:rPr>
              <w:t xml:space="preserve">TIDAK POTENSI RUSAK</w:t>
            </w:r>
          </w:p>
          <w:p>
            <w:pPr>
              <w:jc w:val="center"/>
              <w:spacing w:after="60"/>
            </w:pPr>
            <w:r>
              <w:rPr>
                <w:sz w:val="12"/>
                <w:szCs w:val="12"/>
                <w:b/>
                <w:bCs/>
              </w:rPr>
              <w:t xml:space="preserve">(X &gt;= 80)</w:t>
            </w:r>
          </w:p>
        </w:tc>
        <w:tc>
          <w:tcPr>
            <w:tcW w:w="1000" w:type="dxa"/>
            <w:vAlign w:val="center"/>
          </w:tcPr>
          <w:p>
            <w:pPr>
              <w:jc w:val="center"/>
              <w:spacing w:before="60"/>
            </w:pPr>
            <w:r>
              <w:rPr>
                <w:sz w:val="12"/>
                <w:szCs w:val="12"/>
                <w:b/>
                <w:bCs/>
              </w:rPr>
              <w:t xml:space="preserve">POTENSI RUSAK RINGAN</w:t>
            </w:r>
          </w:p>
          <w:p>
            <w:pPr>
              <w:jc w:val="center"/>
              <w:spacing w:after="60"/>
            </w:pPr>
            <w:r>
              <w:rPr>
                <w:sz w:val="12"/>
                <w:szCs w:val="12"/>
                <w:b/>
                <w:bCs/>
              </w:rPr>
              <w:t xml:space="preserve">(50 &lt;= X &lt; 80)</w:t>
            </w:r>
          </w:p>
        </w:tc>
        <w:tc>
          <w:tcPr>
            <w:tcW w:w="1000" w:type="dxa"/>
            <w:vAlign w:val="center"/>
          </w:tcPr>
          <w:p>
            <w:pPr>
              <w:jc w:val="center"/>
              <w:spacing w:before="60"/>
            </w:pPr>
            <w:r>
              <w:rPr>
                <w:sz w:val="12"/>
                <w:szCs w:val="12"/>
                <w:b/>
                <w:bCs/>
              </w:rPr>
              <w:t xml:space="preserve">POTENSI RUSAK BERAT</w:t>
            </w:r>
          </w:p>
          <w:p>
            <w:pPr>
              <w:jc w:val="center"/>
              <w:spacing w:after="60"/>
            </w:pPr>
            <w:r>
              <w:rPr>
                <w:sz w:val="12"/>
                <w:szCs w:val="12"/>
                <w:b/>
                <w:bCs/>
              </w:rPr>
              <w:t xml:space="preserve">(X &lt; 55)</w:t>
            </w:r>
          </w:p>
        </w:tc>
        <w:tc>
          <w:tcPr>
            <w:tcW w:w="2500" w:type="dxa"/>
            <w:vMerge w:val="continue"/>
          </w:tcPr>
          <w:p/>
        </w:tc>
      </w:tr>
      <w:tr>
        <w:trPr/>
        <w:tc>
          <w:tcPr>
            <w:tcW w:w="500" w:type="dxa"/>
          </w:tcPr>
          <w:p>
            <w:pPr>
              <w:jc w:val="center"/>
              <w:spacing w:before="60" w:after="60"/>
            </w:pPr>
            <w:r>
              <w:rPr>
                <w:sz w:val="20"/>
                <w:szCs w:val="20"/>
              </w:rPr>
              <w:t xml:space="preserve">1</w:t>
            </w:r>
          </w:p>
        </w:tc>
        <w:tc>
          <w:tcPr>
            <w:tcW w:w="1750" w:type="dxa"/>
          </w:tcPr>
          <w:p>
            <w:pPr>
              <w:jc w:val="center"/>
              <w:spacing w:before="60" w:after="60"/>
            </w:pPr>
            <w:r>
              <w:rPr>
                <w:sz w:val="20"/>
                <w:szCs w:val="20"/>
              </w:rPr>
              <w:t xml:space="preserve">Penambangan</w:t>
            </w:r>
          </w:p>
        </w:tc>
        <w:tc>
          <w:tcPr>
            <w:tcW w:w="1750" w:type="dxa"/>
          </w:tcPr>
          <w:p>
            <w:pPr>
              <w:jc w:val="center"/>
              <w:spacing w:before="60" w:after="60"/>
            </w:pPr>
            <w:r>
              <w:rPr>
                <w:sz w:val="20"/>
                <w:szCs w:val="20"/>
              </w:rPr>
              <w:t xml:space="preserve">PIT C [Desa Keuno, Kecamatan Petasia Timur, Kabupaten Morowali Utara]</w:t>
            </w:r>
          </w:p>
        </w:tc>
        <w:tc>
          <w:tcPr>
            <w:tcW w:w="1000" w:type="dxa"/>
          </w:tcPr>
          <w:p>
            <w:pPr>
              <w:jc w:val="center"/>
              <w:spacing w:before="60" w:after="60"/>
            </w:pPr>
            <w:r>
              <w:rPr>
                <w:sz w:val="20"/>
                <w:szCs w:val="20"/>
              </w:rPr>
              <w:t xml:space="preserve"/>
            </w:r>
          </w:p>
        </w:tc>
        <w:tc>
          <w:tcPr>
            <w:tcW w:w="1000" w:type="dxa"/>
          </w:tcPr>
          <w:p>
            <w:pPr>
              <w:jc w:val="center"/>
              <w:spacing w:before="60" w:after="60"/>
            </w:pPr>
            <w:r>
              <w:rPr>
                <w:sz w:val="20"/>
                <w:szCs w:val="20"/>
              </w:rPr>
              <w:t xml:space="preserve">-</w:t>
            </w:r>
          </w:p>
        </w:tc>
        <w:tc>
          <w:tcPr>
            <w:tcW w:w="1000" w:type="dxa"/>
          </w:tcPr>
          <w:p>
            <w:pPr>
              <w:jc w:val="center"/>
              <w:spacing w:before="60" w:after="60"/>
            </w:pPr>
            <w:r>
              <w:rPr>
                <w:sz w:val="20"/>
                <w:szCs w:val="20"/>
              </w:rPr>
              <w:t xml:space="preserve">-</w:t>
            </w:r>
          </w:p>
        </w:tc>
        <w:tc>
          <w:tcPr>
            <w:tcW w:w="1000" w:type="dxa"/>
          </w:tcPr>
          <w:p>
            <w:pPr>
              <w:jc w:val="center"/>
              <w:spacing w:before="60" w:after="60"/>
            </w:pPr>
            <w:r>
              <w:rPr>
                <w:sz w:val="20"/>
                <w:szCs w:val="20"/>
              </w:rPr>
              <w:t xml:space="preserve">-</w:t>
            </w:r>
          </w:p>
        </w:tc>
        <w:tc>
          <w:tcPr>
            <w:tcW w:w="2500" w:type="dxa"/>
          </w:tcPr>
          <w:p>
            <w:pPr>
              <w:spacing w:before="60"/>
            </w:pPr>
            <w:r>
              <w:rPr>
                <w:sz w:val="18"/>
                <w:szCs w:val="18"/>
              </w:rPr>
              <w:t xml:space="preserve"/>
            </w:r>
          </w:p>
        </w:tc>
      </w:tr>
      <w:tr>
        <w:trPr/>
        <w:tc>
          <w:tcPr>
            <w:tcW w:w="4000" w:type="dxa"/>
            <w:vAlign w:val="center"/>
            <w:gridSpan w:val="3"/>
          </w:tcPr>
          <w:p>
            <w:pPr>
              <w:jc w:val="center"/>
            </w:pPr>
            <w:r>
              <w:rPr>
                <w:sz w:val="20"/>
                <w:szCs w:val="20"/>
                <w:b/>
                <w:bCs/>
              </w:rPr>
              <w:t xml:space="preserve">JUMLAH DATA</w:t>
            </w:r>
          </w:p>
        </w:tc>
        <w:tc>
          <w:tcPr>
            <w:tcW w:w="1000" w:type="dxa"/>
            <w:vAlign w:val="center"/>
          </w:tcPr>
          <w:p>
            <w:pPr>
              <w:jc w:val="center"/>
              <w:spacing w:before="60" w:after="60"/>
            </w:pPr>
            <w:r>
              <w:rPr>
                <w:sz w:val="20"/>
                <w:szCs w:val="20"/>
                <w:b/>
                <w:bCs/>
              </w:rPr>
              <w:t xml:space="preserve">1</w:t>
            </w:r>
          </w:p>
        </w:tc>
        <w:tc>
          <w:tcPr>
            <w:tcW w:w="1000" w:type="dxa"/>
            <w:vAlign w:val="center"/>
          </w:tcPr>
          <w:p>
            <w:pPr>
              <w:jc w:val="center"/>
              <w:spacing w:before="60" w:after="60"/>
            </w:pPr>
            <w:r>
              <w:rPr>
                <w:sz w:val="20"/>
                <w:szCs w:val="20"/>
                <w:b/>
                <w:bCs/>
              </w:rPr>
              <w:t xml:space="preserve">0</w:t>
            </w:r>
          </w:p>
        </w:tc>
        <w:tc>
          <w:tcPr>
            <w:tcW w:w="1000" w:type="dxa"/>
            <w:vAlign w:val="center"/>
          </w:tcPr>
          <w:p>
            <w:pPr>
              <w:jc w:val="center"/>
              <w:spacing w:before="60" w:after="60"/>
            </w:pPr>
            <w:r>
              <w:rPr>
                <w:sz w:val="20"/>
                <w:szCs w:val="20"/>
                <w:b/>
                <w:bCs/>
              </w:rPr>
              <w:t xml:space="preserve">0</w:t>
            </w:r>
          </w:p>
        </w:tc>
        <w:tc>
          <w:tcPr>
            <w:tcW w:w="1000" w:type="dxa"/>
            <w:vAlign w:val="center"/>
          </w:tcPr>
          <w:p>
            <w:pPr>
              <w:jc w:val="center"/>
              <w:spacing w:before="60" w:after="60"/>
            </w:pPr>
            <w:r>
              <w:rPr>
                <w:sz w:val="20"/>
                <w:szCs w:val="20"/>
                <w:b/>
                <w:bCs/>
              </w:rPr>
              <w:t xml:space="preserve">0</w:t>
            </w:r>
          </w:p>
        </w:tc>
        <w:tc>
          <w:tcPr>
            <w:tcW w:w="2500" w:type="dxa"/>
            <w:vAlign w:val="center"/>
          </w:tcPr>
          <w:p>
            <w:pPr>
              <w:jc w:val="center"/>
              <w:spacing w:before="60" w:after="60"/>
            </w:pPr>
            <w:r>
              <w:rPr>
                <w:sz w:val="20"/>
                <w:szCs w:val="20"/>
                <w:b/>
                <w:bCs/>
              </w:rPr>
              <w:t xml:space="preserve">TIDAK TAAT</w:t>
            </w:r>
          </w:p>
        </w:tc>
      </w:tr>
    </w:tbl>
    <w:p/>
    <w:p/>
    <w:p>
      <w:pPr/>
      <w:r>
        <w:rPr>
          <w:b/>
          <w:bCs/>
        </w:rPr>
        <w:t xml:space="preserve">A. Ringkasan Penaatan Pengendalian Kerusakan Lahan</w:t>
      </w:r>
    </w:p>
    <w:p>
      <w:pPr/>
      <w:r>
        <w:rPr>
          <w:b/>
          <w:bCs/>
        </w:rPr>
        <w:t xml:space="preserve">1. T</w:t>
      </w:r>
      <w:r>
        <w:rPr/>
        <w:t xml:space="preserve">idak menyampaikan kinerja pengendalian kerusakan lahan pada periode proper 2022-2023.</w:t>
      </w:r>
    </w:p>
    <w:p/>
    <w:p/>
    <w:p>
      <w:pPr/>
      <w:r>
        <w:rPr>
          <w:b/>
          <w:bCs/>
        </w:rPr>
        <w:t xml:space="preserve">B. Tindak Lanjut yang Harus Dilakukan</w:t>
      </w:r>
    </w:p>
    <w:p>
      <w:pPr/>
      <w:r>
        <w:rPr/>
        <w:t xml:space="preserve"> </w:t>
      </w:r>
    </w:p>
    <w:p>
      <w:pPr>
        <w:pPr/>
        <w:numPr>
          <w:ilvl w:val="0"/>
          <w:numId w:val="3"/>
        </w:numPr>
      </w:pPr>
      <w:r>
        <w:rPr/>
        <w:t xml:space="preserve">K1 (Kesesuaian Kondisi yang Direncanakan)</w:t>
      </w:r>
    </w:p>
    <w:p>
      <w:pPr/>
      <w:r>
        <w:rPr/>
        <w:t xml:space="preserve"> </w:t>
      </w:r>
    </w:p>
    <w:p>
      <w:pPr>
        <w:pPr/>
        <w:numPr>
          <w:ilvl w:val="0"/>
          <w:numId w:val="4"/>
        </w:numPr>
      </w:pPr>
      <w:r>
        <w:rPr/>
        <w:t xml:space="preserve">Wajib Melakukan </w:t>
      </w:r>
      <w:r>
        <w:rPr>
          <w:i/>
          <w:iCs/>
        </w:rPr>
        <w:t xml:space="preserve">mine planning </w:t>
      </w:r>
      <w:r>
        <w:rPr/>
        <w:t xml:space="preserve">secara baik sehingga realisasi yang dihasilkan tidak terlalu berbeda dengan rencana.</w:t>
      </w:r>
    </w:p>
    <w:p>
      <w:pPr/>
      <w:r>
        <w:rPr/>
        <w:t xml:space="preserve"> </w:t>
      </w:r>
    </w:p>
    <w:p>
      <w:pPr>
        <w:pPr/>
        <w:numPr>
          <w:ilvl w:val="0"/>
          <w:numId w:val="5"/>
        </w:numPr>
      </w:pPr>
      <w:r>
        <w:rPr/>
        <w:t xml:space="preserve">K2 (Kesinambungan Tahapan)</w:t>
      </w:r>
    </w:p>
    <w:p>
      <w:pPr/>
      <w:r>
        <w:rPr/>
        <w:t xml:space="preserve"> </w:t>
      </w:r>
    </w:p>
    <w:p>
      <w:pPr>
        <w:pPr/>
        <w:numPr>
          <w:ilvl w:val="0"/>
          <w:numId w:val="6"/>
        </w:numPr>
      </w:pPr>
      <w:r>
        <w:rPr/>
        <w:t xml:space="preserve">Wajib Melakukan seluruh tahapan kegiatan penambangan secara berkesinambungan sehingga tidak ada area yang ditinggalkan, misalnya jika proses penimbunan telah mencapai elevasi final yang ditentukan segera dilanjutkan dengan kegiatan reklamasi dan revegetasi.</w:t>
      </w:r>
    </w:p>
    <w:p>
      <w:pPr/>
      <w:r>
        <w:rPr/>
        <w:t xml:space="preserve"> </w:t>
      </w:r>
    </w:p>
    <w:p>
      <w:pPr>
        <w:pPr/>
        <w:numPr>
          <w:ilvl w:val="0"/>
          <w:numId w:val="7"/>
        </w:numPr>
      </w:pPr>
      <w:r>
        <w:rPr/>
        <w:t xml:space="preserve">K3 (Stabilitas Geoteknik)</w:t>
      </w:r>
    </w:p>
    <w:p>
      <w:pPr/>
      <w:r>
        <w:rPr/>
        <w:t xml:space="preserve"> </w:t>
      </w:r>
    </w:p>
    <w:p>
      <w:pPr>
        <w:pPr/>
        <w:numPr>
          <w:ilvl w:val="0"/>
          <w:numId w:val="8"/>
        </w:numPr>
      </w:pPr>
      <w:r>
        <w:rPr/>
        <w:t xml:space="preserve">Wajib Melakukan monitoring secara berkelanjutan dan segera melakukan perbaikan jika ada lereng yang berada pada level bahaya.</w:t>
      </w:r>
    </w:p>
    <w:p>
      <w:pPr/>
      <w:r>
        <w:rPr/>
        <w:t xml:space="preserve"> </w:t>
      </w:r>
    </w:p>
    <w:p>
      <w:pPr>
        <w:pPr/>
        <w:numPr>
          <w:ilvl w:val="0"/>
          <w:numId w:val="9"/>
        </w:numPr>
      </w:pPr>
      <w:r>
        <w:rPr/>
        <w:t xml:space="preserve">K4 (Identifikasi Batuan Berpotensi Asam)</w:t>
      </w:r>
    </w:p>
    <w:p>
      <w:pPr/>
      <w:r>
        <w:rPr/>
        <w:t xml:space="preserve"> </w:t>
      </w:r>
    </w:p>
    <w:p>
      <w:pPr>
        <w:pPr/>
        <w:numPr>
          <w:ilvl w:val="0"/>
          <w:numId w:val="10"/>
        </w:numPr>
      </w:pPr>
      <w:r>
        <w:rPr/>
        <w:t xml:space="preserve">Wajib Selalu memastikan bahwa timbunan final sudah tidak mengandung potensi air asam tambang sehingga potensi pencemaran dapat diminimalisir dan vegetasi dapat tumbuh secara optimal.</w:t>
      </w:r>
    </w:p>
    <w:p>
      <w:pPr/>
      <w:r>
        <w:rPr/>
        <w:t xml:space="preserve"> </w:t>
      </w:r>
    </w:p>
    <w:p>
      <w:pPr>
        <w:pPr/>
        <w:numPr>
          <w:ilvl w:val="0"/>
          <w:numId w:val="11"/>
        </w:numPr>
      </w:pPr>
      <w:r>
        <w:rPr/>
        <w:t xml:space="preserve">K5 (Erosi)</w:t>
      </w:r>
    </w:p>
    <w:p>
      <w:pPr/>
      <w:r>
        <w:rPr/>
        <w:t xml:space="preserve"> </w:t>
      </w:r>
    </w:p>
    <w:p>
      <w:pPr>
        <w:pPr/>
        <w:numPr>
          <w:ilvl w:val="0"/>
          <w:numId w:val="12"/>
        </w:numPr>
      </w:pPr>
      <w:r>
        <w:rPr/>
        <w:t xml:space="preserve">Wajib Segera melakukan pengendalian erosi dengan penanaman cover crop dan revegetasi pada area yang telah dilakukan reklamasi.</w:t>
      </w:r>
    </w:p>
    <w:p>
      <w:pPr/>
      <w:r>
        <w:rPr/>
        <w:t xml:space="preserve"> </w:t>
      </w:r>
    </w:p>
    <w:p>
      <w:pPr>
        <w:pPr/>
        <w:numPr>
          <w:ilvl w:val="0"/>
          <w:numId w:val="13"/>
        </w:numPr>
      </w:pPr>
      <w:r>
        <w:rPr/>
        <w:t xml:space="preserve">K6 (Kebencanaan)</w:t>
      </w:r>
    </w:p>
    <w:p>
      <w:pPr/>
      <w:r>
        <w:rPr/>
        <w:t xml:space="preserve"> </w:t>
      </w:r>
    </w:p>
    <w:p>
      <w:pPr>
        <w:pPr/>
        <w:numPr>
          <w:ilvl w:val="0"/>
          <w:numId w:val="14"/>
        </w:numPr>
      </w:pPr>
      <w:r>
        <w:rPr/>
        <w:t xml:space="preserve">Wajib Melakukan upaya preventif agar dapat meminimalisir potensi bencana yang mungkin terjadi.</w:t>
      </w:r>
    </w:p>
    <w:p>
      <w:pPr/>
      <w:r>
        <w:rPr/>
        <w:t xml:space="preserve"> </w:t>
      </w:r>
    </w:p>
    <w:p>
      <w:pPr>
        <w:pPr/>
        <w:numPr>
          <w:ilvl w:val="0"/>
          <w:numId w:val="15"/>
        </w:numPr>
      </w:pPr>
      <w:r>
        <w:rPr/>
        <w:t xml:space="preserve">Wajib Menyampaikan </w:t>
      </w:r>
      <w:r>
        <w:rPr>
          <w:i/>
          <w:iCs/>
        </w:rPr>
        <w:t xml:space="preserve">raw data </w:t>
      </w:r>
      <w:r>
        <w:rPr/>
        <w:t xml:space="preserve">peta situasi terakhir yang setidaknya memuat </w:t>
      </w:r>
      <w:r>
        <w:rPr>
          <w:i/>
          <w:iCs/>
        </w:rPr>
        <w:t xml:space="preserve">layer </w:t>
      </w:r>
      <w:r>
        <w:rPr/>
        <w:t xml:space="preserve">garis kontur, tahapan kegiatan, dan lahan terganggu</w:t>
      </w:r>
      <w:r>
        <w:rPr>
          <w:i/>
          <w:iCs/>
        </w:rPr>
        <w:t xml:space="preserve"> </w:t>
      </w:r>
      <w:r>
        <w:rPr/>
        <w:t xml:space="preserve">(</w:t>
      </w:r>
      <w:r>
        <w:rPr>
          <w:i/>
          <w:iCs/>
        </w:rPr>
        <w:t xml:space="preserve">land disturbed</w:t>
      </w:r>
      <w:r>
        <w:rPr/>
        <w:t xml:space="preserve">) dalam format </w:t>
      </w:r>
      <w:r>
        <w:rPr>
          <w:i/>
          <w:iCs/>
        </w:rPr>
        <w:t xml:space="preserve">shapefile (.shp).</w:t>
      </w:r>
    </w:p>
    <w:p>
      <w:pPr/>
      <w:r>
        <w:rPr/>
        <w:t xml:space="preserve"> </w:t>
      </w:r>
    </w:p>
    <w:p>
      <w:pPr>
        <w:pPr/>
        <w:numPr>
          <w:ilvl w:val="0"/>
          <w:numId w:val="15"/>
        </w:numPr>
      </w:pPr>
      <w:r>
        <w:rPr/>
        <w:t xml:space="preserve">Wajib Menyampaikan </w:t>
      </w:r>
      <w:r>
        <w:rPr>
          <w:i/>
          <w:iCs/>
        </w:rPr>
        <w:t xml:space="preserve">updating</w:t>
      </w:r>
      <w:r>
        <w:rPr>
          <w:i/>
          <w:iCs/>
          <w:u w:val="single"/>
        </w:rPr>
        <w:t xml:space="preserve"> </w:t>
      </w:r>
      <w:r>
        <w:rPr/>
        <w:t xml:space="preserve">data kegiatan yang dilakukan pada TW III, TW IV Tahun 2022 dan TW I, TW II tahun 2023</w:t>
      </w:r>
    </w:p>
    <w:sectPr>
      <w:footerReference w:type="default" r:id="rId7"/>
      <w:pgSz w:orient="portrait" w:w="11905.511811024" w:h="16837.795275591"/>
      <w:pgMar w:top="1440" w:right="720" w:bottom="1440" w:left="720" w:header="720" w:footer="720" w:gutter="0"/>
      <w:cols w:num="1"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68E0" w14:textId="77777777" w:rsidR="00BC661E" w:rsidRDefault="00BC661E">
      <w:r>
        <w:separator/>
      </w:r>
    </w:p>
  </w:endnote>
  <w:endnote w:type="continuationSeparator" w:id="0">
    <w:p w14:paraId="0A7B5234" w14:textId="77777777" w:rsidR="00BC661E" w:rsidRDefault="00BC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112C" w14:textId="77777777" w:rsidR="00BC661E" w:rsidRDefault="00BC661E">
      <w:r>
        <w:separator/>
      </w:r>
    </w:p>
  </w:footnote>
  <w:footnote w:type="continuationSeparator" w:id="0">
    <w:p w14:paraId="374EEF36" w14:textId="77777777" w:rsidR="00BC661E" w:rsidRDefault="00BC661E">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158</cp:revision>
  <cp:lastPrinted>2017-09-08T09:45:00Z</cp:lastPrinted>
  <dcterms:created xsi:type="dcterms:W3CDTF">2021-08-19T02:07:00Z</dcterms:created>
  <dcterms:modified xsi:type="dcterms:W3CDTF">2023-09-07T10:21:00Z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